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4A" w:rsidRDefault="00E24D4A">
      <w:pPr>
        <w:rPr>
          <w:rFonts w:ascii="Roboto" w:eastAsia="Roboto" w:hAnsi="Roboto" w:cs="Roboto"/>
          <w:color w:val="212121"/>
        </w:rPr>
      </w:pPr>
      <w:bookmarkStart w:id="0" w:name="_GoBack"/>
      <w:bookmarkEnd w:id="0"/>
    </w:p>
    <w:p w:rsidR="00E24D4A" w:rsidRDefault="00E24D4A">
      <w:pPr>
        <w:rPr>
          <w:rFonts w:ascii="Roboto" w:eastAsia="Roboto" w:hAnsi="Roboto" w:cs="Roboto"/>
          <w:color w:val="212121"/>
        </w:rPr>
      </w:pPr>
    </w:p>
    <w:p w:rsidR="00E24D4A" w:rsidRDefault="00403033">
      <w:pPr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 xml:space="preserve">Dear Colleagues, </w:t>
      </w:r>
    </w:p>
    <w:p w:rsidR="00E24D4A" w:rsidRDefault="00403033">
      <w:pPr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 xml:space="preserve">In an effort to continue to use Telehealth as a tool after the state of emergency has ended, it is important to begin to develop a plan for how your practice can effectively and compliantly continue to practice telemedicine. </w:t>
      </w:r>
    </w:p>
    <w:p w:rsidR="00E24D4A" w:rsidRDefault="00E24D4A">
      <w:pPr>
        <w:rPr>
          <w:rFonts w:ascii="Roboto" w:eastAsia="Roboto" w:hAnsi="Roboto" w:cs="Roboto"/>
          <w:color w:val="212121"/>
        </w:rPr>
      </w:pPr>
    </w:p>
    <w:p w:rsidR="00E24D4A" w:rsidRDefault="00403033">
      <w:pPr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>Please click</w:t>
      </w:r>
      <w:hyperlink r:id="rId6">
        <w:r>
          <w:rPr>
            <w:rFonts w:ascii="Roboto" w:eastAsia="Roboto" w:hAnsi="Roboto" w:cs="Roboto"/>
            <w:color w:val="212121"/>
          </w:rPr>
          <w:t xml:space="preserve"> </w:t>
        </w:r>
      </w:hyperlink>
      <w:hyperlink r:id="rId7">
        <w:r>
          <w:rPr>
            <w:rFonts w:ascii="Roboto" w:eastAsia="Roboto" w:hAnsi="Roboto" w:cs="Roboto"/>
            <w:color w:val="1155CC"/>
            <w:u w:val="single"/>
          </w:rPr>
          <w:t>here</w:t>
        </w:r>
      </w:hyperlink>
      <w:r>
        <w:rPr>
          <w:rFonts w:ascii="Roboto" w:eastAsia="Roboto" w:hAnsi="Roboto" w:cs="Roboto"/>
          <w:color w:val="1155CC"/>
          <w:u w:val="single"/>
        </w:rPr>
        <w:t xml:space="preserve"> </w:t>
      </w:r>
      <w:r>
        <w:rPr>
          <w:rFonts w:ascii="Roboto" w:eastAsia="Roboto" w:hAnsi="Roboto" w:cs="Roboto"/>
          <w:color w:val="212121"/>
        </w:rPr>
        <w:t xml:space="preserve">to access information from the Federal State Medical Boards (FSMB) regarding </w:t>
      </w:r>
      <w:r>
        <w:rPr>
          <w:color w:val="212121"/>
        </w:rPr>
        <w:t xml:space="preserve">U.S. States and Territories Modifying Requirements for Telehealth in Response to COVID-19 (Out-of-state physicians; </w:t>
      </w:r>
      <w:proofErr w:type="spellStart"/>
      <w:r>
        <w:rPr>
          <w:color w:val="212121"/>
        </w:rPr>
        <w:t>pre existin</w:t>
      </w:r>
      <w:r>
        <w:rPr>
          <w:color w:val="212121"/>
        </w:rPr>
        <w:t>g</w:t>
      </w:r>
      <w:proofErr w:type="spellEnd"/>
      <w:r>
        <w:rPr>
          <w:color w:val="212121"/>
        </w:rPr>
        <w:t xml:space="preserve"> provider-patient relationships; audio-only requirements; etc.)</w:t>
      </w:r>
      <w:r>
        <w:rPr>
          <w:rFonts w:ascii="Roboto" w:eastAsia="Roboto" w:hAnsi="Roboto" w:cs="Roboto"/>
          <w:color w:val="212121"/>
        </w:rPr>
        <w:t xml:space="preserve">  We urge each provider to be licensed in the state where the patient is located, unless there are provisions in place otherwise due to the pandemic. </w:t>
      </w:r>
    </w:p>
    <w:p w:rsidR="00E24D4A" w:rsidRDefault="00E24D4A">
      <w:pPr>
        <w:rPr>
          <w:rFonts w:ascii="Roboto" w:eastAsia="Roboto" w:hAnsi="Roboto" w:cs="Roboto"/>
          <w:color w:val="212121"/>
        </w:rPr>
      </w:pPr>
    </w:p>
    <w:p w:rsidR="00E24D4A" w:rsidRDefault="00403033">
      <w:pPr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>We recommend you analyze patient data to</w:t>
      </w:r>
      <w:r>
        <w:rPr>
          <w:rFonts w:ascii="Roboto" w:eastAsia="Roboto" w:hAnsi="Roboto" w:cs="Roboto"/>
          <w:color w:val="212121"/>
        </w:rPr>
        <w:t xml:space="preserve"> determine where your patients are living to best determine the states that each provider would benefit in obtaining a state license within. This communication includes a few out of state licensure options:</w:t>
      </w:r>
    </w:p>
    <w:p w:rsidR="00E24D4A" w:rsidRDefault="00403033">
      <w:pPr>
        <w:ind w:left="720"/>
        <w:rPr>
          <w:rFonts w:ascii="Roboto" w:eastAsia="Roboto" w:hAnsi="Roboto" w:cs="Roboto"/>
          <w:color w:val="212121"/>
        </w:rPr>
      </w:pPr>
      <w:r>
        <w:rPr>
          <w:rFonts w:ascii="Arial Unicode MS" w:eastAsia="Arial Unicode MS" w:hAnsi="Arial Unicode MS" w:cs="Arial Unicode MS"/>
          <w:color w:val="212121"/>
        </w:rPr>
        <w:t>●</w:t>
      </w:r>
      <w:r>
        <w:rPr>
          <w:rFonts w:ascii="Times New Roman" w:eastAsia="Times New Roman" w:hAnsi="Times New Roman" w:cs="Times New Roman"/>
          <w:color w:val="212121"/>
        </w:rPr>
        <w:t xml:space="preserve">        </w:t>
      </w:r>
      <w:r>
        <w:rPr>
          <w:rFonts w:ascii="Roboto" w:eastAsia="Roboto" w:hAnsi="Roboto" w:cs="Roboto"/>
          <w:color w:val="212121"/>
        </w:rPr>
        <w:t>Interstate Medical Licensure Compact</w:t>
      </w:r>
    </w:p>
    <w:p w:rsidR="00E24D4A" w:rsidRDefault="00403033">
      <w:pPr>
        <w:ind w:left="720"/>
        <w:rPr>
          <w:rFonts w:ascii="Roboto" w:eastAsia="Roboto" w:hAnsi="Roboto" w:cs="Roboto"/>
          <w:color w:val="212121"/>
        </w:rPr>
      </w:pPr>
      <w:r>
        <w:rPr>
          <w:rFonts w:ascii="Arial Unicode MS" w:eastAsia="Arial Unicode MS" w:hAnsi="Arial Unicode MS" w:cs="Arial Unicode MS"/>
          <w:color w:val="212121"/>
        </w:rPr>
        <w:t>●</w:t>
      </w:r>
      <w:r>
        <w:rPr>
          <w:rFonts w:ascii="Times New Roman" w:eastAsia="Times New Roman" w:hAnsi="Times New Roman" w:cs="Times New Roman"/>
          <w:color w:val="212121"/>
        </w:rPr>
        <w:t xml:space="preserve">  </w:t>
      </w:r>
      <w:r>
        <w:rPr>
          <w:rFonts w:ascii="Times New Roman" w:eastAsia="Times New Roman" w:hAnsi="Times New Roman" w:cs="Times New Roman"/>
          <w:color w:val="212121"/>
        </w:rPr>
        <w:t xml:space="preserve">      </w:t>
      </w:r>
      <w:r>
        <w:rPr>
          <w:rFonts w:ascii="Roboto" w:eastAsia="Roboto" w:hAnsi="Roboto" w:cs="Roboto"/>
          <w:color w:val="212121"/>
        </w:rPr>
        <w:t>New Hampshire</w:t>
      </w:r>
    </w:p>
    <w:p w:rsidR="00E24D4A" w:rsidRDefault="00403033">
      <w:pPr>
        <w:ind w:left="720"/>
        <w:rPr>
          <w:rFonts w:ascii="Roboto" w:eastAsia="Roboto" w:hAnsi="Roboto" w:cs="Roboto"/>
          <w:color w:val="212121"/>
        </w:rPr>
      </w:pPr>
      <w:r>
        <w:rPr>
          <w:rFonts w:ascii="Arial Unicode MS" w:eastAsia="Arial Unicode MS" w:hAnsi="Arial Unicode MS" w:cs="Arial Unicode MS"/>
          <w:color w:val="212121"/>
        </w:rPr>
        <w:t>●</w:t>
      </w:r>
      <w:r>
        <w:rPr>
          <w:rFonts w:ascii="Times New Roman" w:eastAsia="Times New Roman" w:hAnsi="Times New Roman" w:cs="Times New Roman"/>
          <w:color w:val="212121"/>
        </w:rPr>
        <w:t xml:space="preserve">        </w:t>
      </w:r>
      <w:r>
        <w:rPr>
          <w:rFonts w:ascii="Roboto" w:eastAsia="Roboto" w:hAnsi="Roboto" w:cs="Roboto"/>
          <w:color w:val="212121"/>
        </w:rPr>
        <w:t>Maine</w:t>
      </w:r>
    </w:p>
    <w:p w:rsidR="00E24D4A" w:rsidRDefault="00403033">
      <w:pPr>
        <w:ind w:left="720"/>
        <w:rPr>
          <w:rFonts w:ascii="Roboto" w:eastAsia="Roboto" w:hAnsi="Roboto" w:cs="Roboto"/>
          <w:color w:val="212121"/>
        </w:rPr>
      </w:pPr>
      <w:r>
        <w:rPr>
          <w:rFonts w:ascii="Arial Unicode MS" w:eastAsia="Arial Unicode MS" w:hAnsi="Arial Unicode MS" w:cs="Arial Unicode MS"/>
          <w:color w:val="212121"/>
        </w:rPr>
        <w:t>●</w:t>
      </w:r>
      <w:r>
        <w:rPr>
          <w:rFonts w:ascii="Times New Roman" w:eastAsia="Times New Roman" w:hAnsi="Times New Roman" w:cs="Times New Roman"/>
          <w:color w:val="212121"/>
        </w:rPr>
        <w:t xml:space="preserve">        </w:t>
      </w:r>
      <w:r>
        <w:rPr>
          <w:rFonts w:ascii="Roboto" w:eastAsia="Roboto" w:hAnsi="Roboto" w:cs="Roboto"/>
          <w:color w:val="212121"/>
        </w:rPr>
        <w:t>Florida</w:t>
      </w:r>
    </w:p>
    <w:p w:rsidR="00E24D4A" w:rsidRDefault="00403033">
      <w:pPr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 xml:space="preserve"> </w:t>
      </w:r>
    </w:p>
    <w:p w:rsidR="00E24D4A" w:rsidRDefault="00403033">
      <w:pPr>
        <w:rPr>
          <w:rFonts w:ascii="Roboto" w:eastAsia="Roboto" w:hAnsi="Roboto" w:cs="Roboto"/>
          <w:color w:val="212121"/>
        </w:rPr>
      </w:pPr>
      <w:r>
        <w:rPr>
          <w:rFonts w:ascii="Roboto" w:eastAsia="Roboto" w:hAnsi="Roboto" w:cs="Roboto"/>
          <w:color w:val="212121"/>
        </w:rPr>
        <w:t xml:space="preserve">Please do not hesitate to reach out to Alycia </w:t>
      </w:r>
      <w:proofErr w:type="spellStart"/>
      <w:r>
        <w:rPr>
          <w:rFonts w:ascii="Roboto" w:eastAsia="Roboto" w:hAnsi="Roboto" w:cs="Roboto"/>
          <w:color w:val="212121"/>
        </w:rPr>
        <w:t>Messelaar</w:t>
      </w:r>
      <w:proofErr w:type="spellEnd"/>
      <w:r>
        <w:rPr>
          <w:rFonts w:ascii="Roboto" w:eastAsia="Roboto" w:hAnsi="Roboto" w:cs="Roboto"/>
          <w:color w:val="212121"/>
        </w:rPr>
        <w:t xml:space="preserve">, </w:t>
      </w:r>
      <w:r>
        <w:rPr>
          <w:rFonts w:ascii="Roboto" w:eastAsia="Roboto" w:hAnsi="Roboto" w:cs="Roboto"/>
        </w:rPr>
        <w:t>Alycia.Messelaar@lahey.org</w:t>
      </w:r>
      <w:r>
        <w:rPr>
          <w:rFonts w:ascii="Roboto" w:eastAsia="Roboto" w:hAnsi="Roboto" w:cs="Roboto"/>
          <w:color w:val="212121"/>
        </w:rPr>
        <w:t xml:space="preserve"> or 978-236-1784 with any questions or if you would like assistance with researching how to obtain a license in a state</w:t>
      </w:r>
      <w:r>
        <w:rPr>
          <w:rFonts w:ascii="Roboto" w:eastAsia="Roboto" w:hAnsi="Roboto" w:cs="Roboto"/>
          <w:color w:val="212121"/>
        </w:rPr>
        <w:t xml:space="preserve"> not listed in this communication.</w:t>
      </w:r>
    </w:p>
    <w:p w:rsidR="00E24D4A" w:rsidRDefault="00403033">
      <w:r>
        <w:t xml:space="preserve"> </w:t>
      </w:r>
    </w:p>
    <w:p w:rsidR="00E24D4A" w:rsidRDefault="00403033">
      <w:r>
        <w:t>Thank you,</w:t>
      </w:r>
    </w:p>
    <w:p w:rsidR="00E24D4A" w:rsidRDefault="00403033">
      <w:r>
        <w:t xml:space="preserve">Alycia </w:t>
      </w:r>
      <w:proofErr w:type="spellStart"/>
      <w:r>
        <w:t>Messelaar</w:t>
      </w:r>
      <w:proofErr w:type="spellEnd"/>
    </w:p>
    <w:p w:rsidR="00E24D4A" w:rsidRDefault="00403033">
      <w:r>
        <w:t xml:space="preserve">Northeast PHO </w:t>
      </w:r>
    </w:p>
    <w:p w:rsidR="00E24D4A" w:rsidRDefault="00403033">
      <w:r>
        <w:t xml:space="preserve">Manager, Provider and </w:t>
      </w:r>
      <w:proofErr w:type="spellStart"/>
      <w:r>
        <w:t>Payor</w:t>
      </w:r>
      <w:proofErr w:type="spellEnd"/>
      <w:r>
        <w:t xml:space="preserve"> Relations</w:t>
      </w:r>
    </w:p>
    <w:p w:rsidR="00E24D4A" w:rsidRDefault="00E24D4A"/>
    <w:p w:rsidR="00E24D4A" w:rsidRDefault="00403033">
      <w:pPr>
        <w:pStyle w:val="Heading3"/>
        <w:keepNext w:val="0"/>
        <w:keepLines w:val="0"/>
        <w:spacing w:before="280" w:after="0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1" w:name="_drrzcl7oqr2t" w:colFirst="0" w:colLast="0"/>
      <w:bookmarkEnd w:id="1"/>
      <w:r>
        <w:rPr>
          <w:rFonts w:ascii="Calibri" w:eastAsia="Calibri" w:hAnsi="Calibri" w:cs="Calibri"/>
          <w:b/>
          <w:color w:val="000000"/>
          <w:sz w:val="20"/>
          <w:szCs w:val="20"/>
        </w:rPr>
        <w:t>Interstate Medical Licensure Compact</w:t>
      </w:r>
    </w:p>
    <w:p w:rsidR="00E24D4A" w:rsidRDefault="00403033">
      <w:pPr>
        <w:pStyle w:val="Heading3"/>
        <w:keepNext w:val="0"/>
        <w:keepLines w:val="0"/>
        <w:spacing w:before="280"/>
        <w:rPr>
          <w:rFonts w:ascii="Calibri" w:eastAsia="Calibri" w:hAnsi="Calibri" w:cs="Calibri"/>
          <w:color w:val="000000"/>
          <w:sz w:val="20"/>
          <w:szCs w:val="20"/>
        </w:rPr>
      </w:pPr>
      <w:bookmarkStart w:id="2" w:name="_cq0fo3hk7eds" w:colFirst="0" w:colLast="0"/>
      <w:bookmarkEnd w:id="2"/>
      <w:r>
        <w:rPr>
          <w:rFonts w:ascii="Calibri" w:eastAsia="Calibri" w:hAnsi="Calibri" w:cs="Calibri"/>
          <w:color w:val="000000"/>
          <w:sz w:val="20"/>
          <w:szCs w:val="20"/>
        </w:rPr>
        <w:t>Please go to</w:t>
      </w:r>
      <w:hyperlink r:id="rId8">
        <w:r>
          <w:rPr>
            <w:rFonts w:ascii="Calibri" w:eastAsia="Calibri" w:hAnsi="Calibri" w:cs="Calibri"/>
            <w:color w:val="3366CC"/>
            <w:sz w:val="20"/>
            <w:szCs w:val="20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3366CC"/>
            <w:sz w:val="20"/>
            <w:szCs w:val="20"/>
            <w:u w:val="single"/>
          </w:rPr>
          <w:t>http://www.imlcc.org/</w:t>
        </w:r>
      </w:hyperlink>
      <w:r>
        <w:rPr>
          <w:rFonts w:ascii="Calibri" w:eastAsia="Calibri" w:hAnsi="Calibri" w:cs="Calibri"/>
          <w:color w:val="3366CC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for directions.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Interstate Medical Licensure Compact offers a streamlined licensing process for qualified physicians who wish to practice in multiple states</w:t>
      </w:r>
      <w:proofErr w:type="gramStart"/>
      <w:r>
        <w:rPr>
          <w:rFonts w:ascii="Calibri" w:eastAsia="Calibri" w:hAnsi="Calibri" w:cs="Calibri"/>
        </w:rPr>
        <w:t>–  eliminating</w:t>
      </w:r>
      <w:proofErr w:type="gramEnd"/>
      <w:r>
        <w:rPr>
          <w:rFonts w:ascii="Calibri" w:eastAsia="Calibri" w:hAnsi="Calibri" w:cs="Calibri"/>
        </w:rPr>
        <w:t xml:space="preserve">  the need to manage multiple applications.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</w:rPr>
        <w:t xml:space="preserve">eligible, you can qualify to practice medicine across state lines within the Compact if you meet the Compact’s agreed-upon eligibility requirements. You may apply through the Compact for </w:t>
      </w:r>
      <w:r>
        <w:rPr>
          <w:rFonts w:ascii="Calibri" w:eastAsia="Calibri" w:hAnsi="Calibri" w:cs="Calibri"/>
        </w:rPr>
        <w:lastRenderedPageBreak/>
        <w:t>licensure in multiple states, receiving separate licenses from each s</w:t>
      </w:r>
      <w:r>
        <w:rPr>
          <w:rFonts w:ascii="Calibri" w:eastAsia="Calibri" w:hAnsi="Calibri" w:cs="Calibri"/>
        </w:rPr>
        <w:t xml:space="preserve">tate in which you intend to practice. The states chosen </w:t>
      </w:r>
      <w:r>
        <w:rPr>
          <w:rFonts w:ascii="Calibri" w:eastAsia="Calibri" w:hAnsi="Calibri" w:cs="Calibri"/>
          <w:u w:val="single"/>
        </w:rPr>
        <w:t xml:space="preserve">must </w:t>
      </w:r>
      <w:r>
        <w:rPr>
          <w:rFonts w:ascii="Calibri" w:eastAsia="Calibri" w:hAnsi="Calibri" w:cs="Calibri"/>
        </w:rPr>
        <w:t>be participants in the Compact. Please see below for U.S. state Compact Licensure participation.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These licenses are still issued by the individual states – but because the application for licensure in these states is routed through the Compact, the overall process is obtained faster and with fewer burdens. Approximately 80% of U.S. physicians meet the</w:t>
      </w:r>
      <w:r>
        <w:rPr>
          <w:rFonts w:ascii="Calibri" w:eastAsia="Calibri" w:hAnsi="Calibri" w:cs="Calibri"/>
        </w:rPr>
        <w:t xml:space="preserve"> criteria for licensure through the Compact. See if you qualify by clicking</w:t>
      </w:r>
      <w:hyperlink r:id="rId10" w:anchor="DoIQualifyForCompactLicensure">
        <w:r>
          <w:rPr>
            <w:rFonts w:ascii="Calibri" w:eastAsia="Calibri" w:hAnsi="Calibri" w:cs="Calibri"/>
          </w:rPr>
          <w:t xml:space="preserve"> </w:t>
        </w:r>
      </w:hyperlink>
      <w:hyperlink r:id="rId11" w:anchor="DoIQualifyForCompactLicensure">
        <w:r>
          <w:rPr>
            <w:rFonts w:ascii="Calibri" w:eastAsia="Calibri" w:hAnsi="Calibri" w:cs="Calibri"/>
            <w:color w:val="1155CC"/>
            <w:u w:val="single"/>
          </w:rPr>
          <w:t>here</w:t>
        </w:r>
      </w:hyperlink>
      <w:r>
        <w:rPr>
          <w:rFonts w:ascii="Calibri" w:eastAsia="Calibri" w:hAnsi="Calibri" w:cs="Calibri"/>
        </w:rPr>
        <w:t>.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Compact currently includes </w:t>
      </w:r>
      <w:r>
        <w:rPr>
          <w:rFonts w:ascii="Calibri" w:eastAsia="Calibri" w:hAnsi="Calibri" w:cs="Calibri"/>
          <w:b/>
        </w:rPr>
        <w:t>29 states</w:t>
      </w:r>
      <w:r>
        <w:rPr>
          <w:rFonts w:ascii="Calibri" w:eastAsia="Calibri" w:hAnsi="Calibri" w:cs="Calibri"/>
        </w:rPr>
        <w:t>, the District of Columbia and the Territory of Guam. In these jurisdictions, physicians are licensed by 43 different medical and osteopathic boards.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spacing w:after="28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Physicians apply through the Compact to receive a Letter of Qualification from a State of Principal License (SPL).  </w:t>
      </w:r>
      <w:r>
        <w:rPr>
          <w:rFonts w:ascii="Calibri" w:eastAsia="Calibri" w:hAnsi="Calibri" w:cs="Calibri"/>
          <w:u w:val="single"/>
        </w:rPr>
        <w:t>Physicians cannot obtain licenses through the compact unless they have an SPL and are issued a Letter of Qualification</w:t>
      </w:r>
      <w:r>
        <w:rPr>
          <w:rFonts w:ascii="Calibri" w:eastAsia="Calibri" w:hAnsi="Calibri" w:cs="Calibri"/>
        </w:rPr>
        <w:t>. In order to particip</w:t>
      </w:r>
      <w:r>
        <w:rPr>
          <w:rFonts w:ascii="Calibri" w:eastAsia="Calibri" w:hAnsi="Calibri" w:cs="Calibri"/>
        </w:rPr>
        <w:t>ate in the Compact, states must pass legislation authorizing it.</w:t>
      </w:r>
    </w:p>
    <w:p w:rsidR="00E24D4A" w:rsidRDefault="00403033">
      <w:pPr>
        <w:spacing w:after="280" w:line="360" w:lineRule="auto"/>
        <w:ind w:left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inline distT="114300" distB="114300" distL="114300" distR="114300">
            <wp:extent cx="4757949" cy="428493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7949" cy="4284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4D4A" w:rsidRDefault="00E24D4A"/>
    <w:p w:rsidR="00E24D4A" w:rsidRDefault="00403033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New Hampshire (MD/DO)</w:t>
      </w:r>
    </w:p>
    <w:p w:rsidR="00E24D4A" w:rsidRDefault="00403033">
      <w:pPr>
        <w:rPr>
          <w:rFonts w:ascii="Calibri" w:eastAsia="Calibri" w:hAnsi="Calibri" w:cs="Calibri"/>
          <w:color w:val="1155CC"/>
          <w:u w:val="single"/>
        </w:rPr>
      </w:pPr>
      <w:hyperlink r:id="rId13">
        <w:r>
          <w:rPr>
            <w:rFonts w:ascii="Calibri" w:eastAsia="Calibri" w:hAnsi="Calibri" w:cs="Calibri"/>
            <w:color w:val="1155CC"/>
            <w:u w:val="single"/>
          </w:rPr>
          <w:t>(</w:t>
        </w:r>
      </w:hyperlink>
      <w:hyperlink r:id="rId14">
        <w:r>
          <w:rPr>
            <w:rFonts w:ascii="Calibri" w:eastAsia="Calibri" w:hAnsi="Calibri" w:cs="Calibri"/>
            <w:color w:val="3366CC"/>
            <w:u w:val="single"/>
          </w:rPr>
          <w:t>BOARD WEBSITE</w:t>
        </w:r>
      </w:hyperlink>
      <w:hyperlink r:id="rId15">
        <w:r>
          <w:rPr>
            <w:rFonts w:ascii="Calibri" w:eastAsia="Calibri" w:hAnsi="Calibri" w:cs="Calibri"/>
            <w:color w:val="1155CC"/>
            <w:u w:val="single"/>
          </w:rPr>
          <w:t>)</w:t>
        </w:r>
      </w:hyperlink>
    </w:p>
    <w:p w:rsidR="00E24D4A" w:rsidRDefault="0040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Timeframe </w:t>
      </w:r>
      <w:r>
        <w:rPr>
          <w:rFonts w:ascii="Calibri" w:eastAsia="Calibri" w:hAnsi="Calibri" w:cs="Calibri"/>
        </w:rPr>
        <w:t>10-16 weeks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Board Meeting </w:t>
      </w:r>
      <w:r>
        <w:rPr>
          <w:rFonts w:ascii="Calibri" w:eastAsia="Calibri" w:hAnsi="Calibri" w:cs="Calibri"/>
        </w:rPr>
        <w:t>Yes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Fingerprints </w:t>
      </w:r>
      <w:r>
        <w:rPr>
          <w:rFonts w:ascii="Calibri" w:eastAsia="Calibri" w:hAnsi="Calibri" w:cs="Calibri"/>
        </w:rPr>
        <w:t>Yes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FCVS </w:t>
      </w:r>
      <w:r>
        <w:rPr>
          <w:rFonts w:ascii="Calibri" w:eastAsia="Calibri" w:hAnsi="Calibri" w:cs="Calibri"/>
        </w:rPr>
        <w:t>Yes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Postgrad Training </w:t>
      </w:r>
      <w:r>
        <w:rPr>
          <w:rFonts w:ascii="Calibri" w:eastAsia="Calibri" w:hAnsi="Calibri" w:cs="Calibri"/>
        </w:rPr>
        <w:t>2 years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Controlled Substance Regulation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  <w:color w:val="3366CC"/>
          <w:u w:val="single"/>
        </w:rPr>
      </w:pPr>
      <w:r>
        <w:rPr>
          <w:rFonts w:ascii="Calibri" w:eastAsia="Calibri" w:hAnsi="Calibri" w:cs="Calibri"/>
          <w:b/>
        </w:rPr>
        <w:t>License application:</w:t>
      </w:r>
      <w:hyperlink r:id="rId16">
        <w:r>
          <w:rPr>
            <w:rFonts w:ascii="Calibri" w:eastAsia="Calibri" w:hAnsi="Calibri" w:cs="Calibri"/>
            <w:b/>
          </w:rPr>
          <w:t xml:space="preserve"> </w:t>
        </w:r>
      </w:hyperlink>
      <w:hyperlink r:id="rId17">
        <w:r>
          <w:rPr>
            <w:rFonts w:ascii="Calibri" w:eastAsia="Calibri" w:hAnsi="Calibri" w:cs="Calibri"/>
            <w:color w:val="3366CC"/>
            <w:u w:val="single"/>
          </w:rPr>
          <w:t>https://www.oplc.nh.gov/medicine/documents/p</w:t>
        </w:r>
        <w:r>
          <w:rPr>
            <w:rFonts w:ascii="Calibri" w:eastAsia="Calibri" w:hAnsi="Calibri" w:cs="Calibri"/>
            <w:color w:val="3366CC"/>
            <w:u w:val="single"/>
          </w:rPr>
          <w:t>hysician-instructions-addendum-affidavit.pdf</w:t>
        </w:r>
      </w:hyperlink>
    </w:p>
    <w:p w:rsidR="00E24D4A" w:rsidRDefault="00403033">
      <w:pPr>
        <w:pStyle w:val="Heading3"/>
        <w:keepNext w:val="0"/>
        <w:keepLines w:val="0"/>
        <w:spacing w:before="280" w:after="0"/>
        <w:rPr>
          <w:rFonts w:ascii="Calibri" w:eastAsia="Calibri" w:hAnsi="Calibri" w:cs="Calibri"/>
          <w:color w:val="000000"/>
          <w:sz w:val="20"/>
          <w:szCs w:val="20"/>
        </w:rPr>
      </w:pPr>
      <w:bookmarkStart w:id="3" w:name="_36w29ajjkajv" w:colFirst="0" w:colLast="0"/>
      <w:bookmarkEnd w:id="3"/>
      <w:r>
        <w:rPr>
          <w:rFonts w:ascii="Calibri" w:eastAsia="Calibri" w:hAnsi="Calibri" w:cs="Calibri"/>
          <w:color w:val="000000"/>
          <w:sz w:val="20"/>
          <w:szCs w:val="20"/>
        </w:rPr>
        <w:t>NH Specific license emergency orders:</w:t>
      </w:r>
    </w:p>
    <w:p w:rsidR="00E24D4A" w:rsidRDefault="00403033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3366CC"/>
          <w:sz w:val="20"/>
          <w:szCs w:val="20"/>
          <w:u w:val="single"/>
        </w:rPr>
      </w:pPr>
      <w:bookmarkStart w:id="4" w:name="_q2aykcpu4uf7" w:colFirst="0" w:colLast="0"/>
      <w:bookmarkEnd w:id="4"/>
      <w:r>
        <w:rPr>
          <w:rFonts w:ascii="Calibri" w:eastAsia="Calibri" w:hAnsi="Calibri" w:cs="Calibri"/>
          <w:color w:val="000000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hyperlink r:id="rId18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hyperlink>
      <w:hyperlink r:id="rId19">
        <w:r>
          <w:rPr>
            <w:rFonts w:ascii="Calibri" w:eastAsia="Calibri" w:hAnsi="Calibri" w:cs="Calibri"/>
            <w:b/>
            <w:color w:val="3366CC"/>
            <w:sz w:val="20"/>
            <w:szCs w:val="20"/>
            <w:u w:val="single"/>
          </w:rPr>
          <w:t>https://www.governor.nh.gov/sites/g/files/ehbemt336/files/documents/emergency-o</w:t>
        </w:r>
        <w:r>
          <w:rPr>
            <w:rFonts w:ascii="Calibri" w:eastAsia="Calibri" w:hAnsi="Calibri" w:cs="Calibri"/>
            <w:b/>
            <w:color w:val="3366CC"/>
            <w:sz w:val="20"/>
            <w:szCs w:val="20"/>
            <w:u w:val="single"/>
          </w:rPr>
          <w:t>rder-29-h.pdf</w:t>
        </w:r>
      </w:hyperlink>
    </w:p>
    <w:p w:rsidR="00E24D4A" w:rsidRDefault="00403033">
      <w:pPr>
        <w:pStyle w:val="Heading3"/>
        <w:keepNext w:val="0"/>
        <w:keepLines w:val="0"/>
        <w:spacing w:before="280"/>
        <w:rPr>
          <w:rFonts w:ascii="Calibri" w:eastAsia="Calibri" w:hAnsi="Calibri" w:cs="Calibri"/>
          <w:b/>
          <w:color w:val="3366CC"/>
          <w:sz w:val="20"/>
          <w:szCs w:val="20"/>
          <w:u w:val="single"/>
        </w:rPr>
      </w:pPr>
      <w:bookmarkStart w:id="5" w:name="_vjt9dqgmhku6" w:colFirst="0" w:colLast="0"/>
      <w:bookmarkEnd w:id="5"/>
      <w:r>
        <w:rPr>
          <w:rFonts w:ascii="Calibri" w:eastAsia="Calibri" w:hAnsi="Calibri" w:cs="Calibri"/>
          <w:color w:val="000000"/>
          <w:sz w:val="20"/>
          <w:szCs w:val="20"/>
        </w:rPr>
        <w:t>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hyperlink r:id="rId20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 </w:t>
        </w:r>
      </w:hyperlink>
      <w:hyperlink r:id="rId21">
        <w:r>
          <w:rPr>
            <w:rFonts w:ascii="Calibri" w:eastAsia="Calibri" w:hAnsi="Calibri" w:cs="Calibri"/>
            <w:b/>
            <w:color w:val="3366CC"/>
            <w:sz w:val="20"/>
            <w:szCs w:val="20"/>
            <w:u w:val="single"/>
          </w:rPr>
          <w:t>https://www.governor.nh.gov/sites/g/files/ehbemt336/files/2020-05/emergency-order-46.pdf</w:t>
        </w:r>
      </w:hyperlink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Maine (MD)</w:t>
      </w:r>
    </w:p>
    <w:p w:rsidR="00E24D4A" w:rsidRDefault="00403033">
      <w:pPr>
        <w:rPr>
          <w:rFonts w:ascii="Calibri" w:eastAsia="Calibri" w:hAnsi="Calibri" w:cs="Calibri"/>
          <w:color w:val="1155CC"/>
          <w:u w:val="single"/>
        </w:rPr>
      </w:pPr>
      <w:hyperlink r:id="rId22">
        <w:r>
          <w:rPr>
            <w:rFonts w:ascii="Calibri" w:eastAsia="Calibri" w:hAnsi="Calibri" w:cs="Calibri"/>
            <w:color w:val="1155CC"/>
            <w:u w:val="single"/>
          </w:rPr>
          <w:t>(</w:t>
        </w:r>
      </w:hyperlink>
      <w:hyperlink r:id="rId23">
        <w:r>
          <w:rPr>
            <w:rFonts w:ascii="Calibri" w:eastAsia="Calibri" w:hAnsi="Calibri" w:cs="Calibri"/>
            <w:color w:val="3366CC"/>
            <w:u w:val="single"/>
          </w:rPr>
          <w:t>BOARD WEBSITE</w:t>
        </w:r>
      </w:hyperlink>
      <w:hyperlink r:id="rId24">
        <w:r>
          <w:rPr>
            <w:rFonts w:ascii="Calibri" w:eastAsia="Calibri" w:hAnsi="Calibri" w:cs="Calibri"/>
            <w:color w:val="1155CC"/>
            <w:u w:val="single"/>
          </w:rPr>
          <w:t>)</w:t>
        </w:r>
      </w:hyperlink>
    </w:p>
    <w:p w:rsidR="00E24D4A" w:rsidRDefault="0040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Timeframe </w:t>
      </w:r>
      <w:r>
        <w:rPr>
          <w:rFonts w:ascii="Calibri" w:eastAsia="Calibri" w:hAnsi="Calibri" w:cs="Calibri"/>
        </w:rPr>
        <w:t>12 Weeks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Board Meeting </w:t>
      </w:r>
      <w:r>
        <w:rPr>
          <w:rFonts w:ascii="Calibri" w:eastAsia="Calibri" w:hAnsi="Calibri" w:cs="Calibri"/>
        </w:rPr>
        <w:t>Yes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Fingerprints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FCVS </w:t>
      </w:r>
      <w:r>
        <w:rPr>
          <w:rFonts w:ascii="Calibri" w:eastAsia="Calibri" w:hAnsi="Calibri" w:cs="Calibri"/>
        </w:rPr>
        <w:t>Yes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Postgrad Training </w:t>
      </w:r>
      <w:r>
        <w:rPr>
          <w:rFonts w:ascii="Calibri" w:eastAsia="Calibri" w:hAnsi="Calibri" w:cs="Calibri"/>
        </w:rPr>
        <w:t>2 Years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Controlled Substance Regulation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Notes </w:t>
      </w:r>
      <w:r>
        <w:rPr>
          <w:rFonts w:ascii="Calibri" w:eastAsia="Calibri" w:hAnsi="Calibri" w:cs="Calibri"/>
        </w:rPr>
        <w:t>Physicians in Maine must complete all three steps of the USMLE in seven years with no more than three attempts on ste</w:t>
      </w:r>
      <w:r>
        <w:rPr>
          <w:rFonts w:ascii="Calibri" w:eastAsia="Calibri" w:hAnsi="Calibri" w:cs="Calibri"/>
        </w:rPr>
        <w:t xml:space="preserve">p three. Applicants exceeding three attempts on step three must submit a written request for a waiver. In order to qualify, no more than three medical malpractice claims shall have been filed against the applicant in a 10-year period, nor shall there have </w:t>
      </w:r>
      <w:r>
        <w:rPr>
          <w:rFonts w:ascii="Calibri" w:eastAsia="Calibri" w:hAnsi="Calibri" w:cs="Calibri"/>
        </w:rPr>
        <w:t>been any one medical malpractice settlement resulting in an amount greater than $300,000. Providers with any disciplinary actions and/or criminal background are disqualified from emergency licenses.</w:t>
      </w:r>
    </w:p>
    <w:p w:rsidR="00E24D4A" w:rsidRDefault="00403033">
      <w:pPr>
        <w:rPr>
          <w:rFonts w:ascii="Calibri" w:eastAsia="Calibri" w:hAnsi="Calibri" w:cs="Calibri"/>
          <w:b/>
          <w:color w:val="3366CC"/>
          <w:u w:val="single"/>
        </w:rPr>
      </w:pPr>
      <w:r>
        <w:rPr>
          <w:rFonts w:ascii="Calibri" w:eastAsia="Calibri" w:hAnsi="Calibri" w:cs="Calibri"/>
          <w:b/>
        </w:rPr>
        <w:t>License application:</w:t>
      </w:r>
      <w:hyperlink r:id="rId25">
        <w:r>
          <w:rPr>
            <w:rFonts w:ascii="Calibri" w:eastAsia="Calibri" w:hAnsi="Calibri" w:cs="Calibri"/>
            <w:b/>
          </w:rPr>
          <w:t xml:space="preserve"> </w:t>
        </w:r>
      </w:hyperlink>
      <w:hyperlink r:id="rId26">
        <w:r>
          <w:rPr>
            <w:rFonts w:ascii="Calibri" w:eastAsia="Calibri" w:hAnsi="Calibri" w:cs="Calibri"/>
            <w:b/>
            <w:color w:val="3366CC"/>
            <w:u w:val="single"/>
          </w:rPr>
          <w:t>http://www.imlcc.org/</w:t>
        </w:r>
      </w:hyperlink>
    </w:p>
    <w:p w:rsidR="00E24D4A" w:rsidRDefault="0040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Ma</w:t>
      </w:r>
      <w:r>
        <w:rPr>
          <w:rFonts w:ascii="Calibri" w:eastAsia="Calibri" w:hAnsi="Calibri" w:cs="Calibri"/>
          <w:b/>
        </w:rPr>
        <w:t>ine (DO)</w:t>
      </w:r>
    </w:p>
    <w:p w:rsidR="00E24D4A" w:rsidRDefault="00403033">
      <w:pPr>
        <w:rPr>
          <w:rFonts w:ascii="Calibri" w:eastAsia="Calibri" w:hAnsi="Calibri" w:cs="Calibri"/>
          <w:color w:val="1155CC"/>
          <w:u w:val="single"/>
        </w:rPr>
      </w:pPr>
      <w:hyperlink r:id="rId27">
        <w:r>
          <w:rPr>
            <w:rFonts w:ascii="Calibri" w:eastAsia="Calibri" w:hAnsi="Calibri" w:cs="Calibri"/>
            <w:color w:val="1155CC"/>
            <w:u w:val="single"/>
          </w:rPr>
          <w:t>(</w:t>
        </w:r>
      </w:hyperlink>
      <w:hyperlink r:id="rId28">
        <w:r>
          <w:rPr>
            <w:rFonts w:ascii="Calibri" w:eastAsia="Calibri" w:hAnsi="Calibri" w:cs="Calibri"/>
            <w:color w:val="3366CC"/>
            <w:u w:val="single"/>
          </w:rPr>
          <w:t>BOARD WEBSITE</w:t>
        </w:r>
      </w:hyperlink>
      <w:hyperlink r:id="rId29">
        <w:r>
          <w:rPr>
            <w:rFonts w:ascii="Calibri" w:eastAsia="Calibri" w:hAnsi="Calibri" w:cs="Calibri"/>
            <w:color w:val="1155CC"/>
            <w:u w:val="single"/>
          </w:rPr>
          <w:t>)</w:t>
        </w:r>
      </w:hyperlink>
    </w:p>
    <w:p w:rsidR="00E24D4A" w:rsidRDefault="0040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Timeframe </w:t>
      </w:r>
      <w:r>
        <w:rPr>
          <w:rFonts w:ascii="Calibri" w:eastAsia="Calibri" w:hAnsi="Calibri" w:cs="Calibri"/>
        </w:rPr>
        <w:t>8-12 weeks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Board Meeting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Fingerprints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FCVS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Postgrad Training </w:t>
      </w:r>
      <w:r>
        <w:rPr>
          <w:rFonts w:ascii="Calibri" w:eastAsia="Calibri" w:hAnsi="Calibri" w:cs="Calibri"/>
        </w:rPr>
        <w:t>1 year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Controlled Substance Regulation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  <w:b/>
          <w:color w:val="3366CC"/>
          <w:u w:val="single"/>
        </w:rPr>
      </w:pPr>
      <w:r>
        <w:rPr>
          <w:rFonts w:ascii="Calibri" w:eastAsia="Calibri" w:hAnsi="Calibri" w:cs="Calibri"/>
          <w:b/>
        </w:rPr>
        <w:t>License application:</w:t>
      </w:r>
      <w:hyperlink r:id="rId30">
        <w:r>
          <w:rPr>
            <w:rFonts w:ascii="Calibri" w:eastAsia="Calibri" w:hAnsi="Calibri" w:cs="Calibri"/>
            <w:b/>
          </w:rPr>
          <w:t xml:space="preserve"> </w:t>
        </w:r>
      </w:hyperlink>
      <w:hyperlink r:id="rId31">
        <w:r>
          <w:rPr>
            <w:rFonts w:ascii="Calibri" w:eastAsia="Calibri" w:hAnsi="Calibri" w:cs="Calibri"/>
            <w:b/>
            <w:color w:val="3366CC"/>
            <w:u w:val="single"/>
          </w:rPr>
          <w:t>http://www.imlcc.org/</w:t>
        </w:r>
      </w:hyperlink>
    </w:p>
    <w:p w:rsidR="00E24D4A" w:rsidRDefault="0040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Florida (MD)</w:t>
      </w:r>
    </w:p>
    <w:p w:rsidR="00E24D4A" w:rsidRDefault="00403033">
      <w:pPr>
        <w:rPr>
          <w:rFonts w:ascii="Calibri" w:eastAsia="Calibri" w:hAnsi="Calibri" w:cs="Calibri"/>
          <w:color w:val="1155CC"/>
          <w:u w:val="single"/>
        </w:rPr>
      </w:pPr>
      <w:hyperlink r:id="rId32">
        <w:r>
          <w:rPr>
            <w:rFonts w:ascii="Calibri" w:eastAsia="Calibri" w:hAnsi="Calibri" w:cs="Calibri"/>
            <w:color w:val="1155CC"/>
            <w:u w:val="single"/>
          </w:rPr>
          <w:t>(</w:t>
        </w:r>
      </w:hyperlink>
      <w:hyperlink r:id="rId33">
        <w:r>
          <w:rPr>
            <w:rFonts w:ascii="Calibri" w:eastAsia="Calibri" w:hAnsi="Calibri" w:cs="Calibri"/>
            <w:color w:val="3366CC"/>
            <w:u w:val="single"/>
          </w:rPr>
          <w:t>BOARD WEBSITE</w:t>
        </w:r>
      </w:hyperlink>
      <w:hyperlink r:id="rId34">
        <w:r>
          <w:rPr>
            <w:rFonts w:ascii="Calibri" w:eastAsia="Calibri" w:hAnsi="Calibri" w:cs="Calibri"/>
            <w:color w:val="1155CC"/>
            <w:u w:val="single"/>
          </w:rPr>
          <w:t>)</w:t>
        </w:r>
      </w:hyperlink>
    </w:p>
    <w:p w:rsidR="00E24D4A" w:rsidRDefault="0040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Timeframe </w:t>
      </w:r>
      <w:r>
        <w:rPr>
          <w:rFonts w:ascii="Calibri" w:eastAsia="Calibri" w:hAnsi="Calibri" w:cs="Calibri"/>
        </w:rPr>
        <w:t>12-16 weeks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Board Meeting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Fingerprints </w:t>
      </w:r>
      <w:r>
        <w:rPr>
          <w:rFonts w:ascii="Calibri" w:eastAsia="Calibri" w:hAnsi="Calibri" w:cs="Calibri"/>
        </w:rPr>
        <w:t>Yes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FCVS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Postgrad Training </w:t>
      </w:r>
      <w:r>
        <w:rPr>
          <w:rFonts w:ascii="Calibri" w:eastAsia="Calibri" w:hAnsi="Calibri" w:cs="Calibri"/>
        </w:rPr>
        <w:t>1 year; 2 years IMG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Controlled Substance Regulation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Notes </w:t>
      </w:r>
      <w:r>
        <w:rPr>
          <w:rFonts w:ascii="Calibri" w:eastAsia="Calibri" w:hAnsi="Calibri" w:cs="Calibri"/>
        </w:rPr>
        <w:t>Florida has no limit on USMLE times or attempts. Physicians must submit proof of 24 months of practice over the past four years preceding the date of the application.</w:t>
      </w:r>
    </w:p>
    <w:p w:rsidR="00E24D4A" w:rsidRDefault="00403033">
      <w:pPr>
        <w:ind w:left="720"/>
        <w:rPr>
          <w:rFonts w:ascii="Calibri" w:eastAsia="Calibri" w:hAnsi="Calibri" w:cs="Calibri"/>
          <w:b/>
          <w:color w:val="3366CC"/>
          <w:u w:val="single"/>
        </w:rPr>
      </w:pPr>
      <w:r>
        <w:rPr>
          <w:rFonts w:ascii="Calibri" w:eastAsia="Calibri" w:hAnsi="Calibri" w:cs="Calibri"/>
          <w:b/>
        </w:rPr>
        <w:t>License application:</w:t>
      </w:r>
      <w:hyperlink r:id="rId35">
        <w:r>
          <w:rPr>
            <w:rFonts w:ascii="Calibri" w:eastAsia="Calibri" w:hAnsi="Calibri" w:cs="Calibri"/>
            <w:b/>
          </w:rPr>
          <w:t xml:space="preserve"> </w:t>
        </w:r>
      </w:hyperlink>
      <w:hyperlink r:id="rId36">
        <w:r>
          <w:rPr>
            <w:rFonts w:ascii="Calibri" w:eastAsia="Calibri" w:hAnsi="Calibri" w:cs="Calibri"/>
            <w:b/>
            <w:color w:val="3366CC"/>
            <w:u w:val="single"/>
          </w:rPr>
          <w:t>http://flhealthsourc</w:t>
        </w:r>
        <w:r>
          <w:rPr>
            <w:rFonts w:ascii="Calibri" w:eastAsia="Calibri" w:hAnsi="Calibri" w:cs="Calibri"/>
            <w:b/>
            <w:color w:val="3366CC"/>
            <w:u w:val="single"/>
          </w:rPr>
          <w:t>e.gov/mqa-services</w:t>
        </w:r>
      </w:hyperlink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Florida (DO)</w:t>
      </w:r>
    </w:p>
    <w:p w:rsidR="00E24D4A" w:rsidRDefault="00403033">
      <w:pPr>
        <w:rPr>
          <w:rFonts w:ascii="Calibri" w:eastAsia="Calibri" w:hAnsi="Calibri" w:cs="Calibri"/>
          <w:color w:val="1155CC"/>
          <w:u w:val="single"/>
        </w:rPr>
      </w:pPr>
      <w:hyperlink r:id="rId37">
        <w:r>
          <w:rPr>
            <w:rFonts w:ascii="Calibri" w:eastAsia="Calibri" w:hAnsi="Calibri" w:cs="Calibri"/>
            <w:color w:val="1155CC"/>
            <w:u w:val="single"/>
          </w:rPr>
          <w:t>(</w:t>
        </w:r>
      </w:hyperlink>
      <w:hyperlink r:id="rId38">
        <w:r>
          <w:rPr>
            <w:rFonts w:ascii="Calibri" w:eastAsia="Calibri" w:hAnsi="Calibri" w:cs="Calibri"/>
            <w:color w:val="3366CC"/>
            <w:u w:val="single"/>
          </w:rPr>
          <w:t>BOARD WEBSITE</w:t>
        </w:r>
      </w:hyperlink>
      <w:hyperlink r:id="rId39">
        <w:r>
          <w:rPr>
            <w:rFonts w:ascii="Calibri" w:eastAsia="Calibri" w:hAnsi="Calibri" w:cs="Calibri"/>
            <w:color w:val="1155CC"/>
            <w:u w:val="single"/>
          </w:rPr>
          <w:t>)</w:t>
        </w:r>
      </w:hyperlink>
    </w:p>
    <w:p w:rsidR="00E24D4A" w:rsidRDefault="0040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Timeframe </w:t>
      </w:r>
      <w:r>
        <w:rPr>
          <w:rFonts w:ascii="Calibri" w:eastAsia="Calibri" w:hAnsi="Calibri" w:cs="Calibri"/>
        </w:rPr>
        <w:t>8-12 weeks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Board Meeting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Fingerprints </w:t>
      </w:r>
      <w:r>
        <w:rPr>
          <w:rFonts w:ascii="Calibri" w:eastAsia="Calibri" w:hAnsi="Calibri" w:cs="Calibri"/>
        </w:rPr>
        <w:t>Yes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FCVS </w:t>
      </w:r>
      <w:r>
        <w:rPr>
          <w:rFonts w:ascii="Calibri" w:eastAsia="Calibri" w:hAnsi="Calibri" w:cs="Calibri"/>
        </w:rPr>
        <w:t>No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Postgrad Training </w:t>
      </w:r>
      <w:r>
        <w:rPr>
          <w:rFonts w:ascii="Calibri" w:eastAsia="Calibri" w:hAnsi="Calibri" w:cs="Calibri"/>
        </w:rPr>
        <w:t>1 year</w:t>
      </w:r>
    </w:p>
    <w:p w:rsidR="00E24D4A" w:rsidRDefault="00403033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Controlled Substance </w:t>
      </w:r>
      <w:proofErr w:type="gramStart"/>
      <w:r>
        <w:rPr>
          <w:rFonts w:ascii="Calibri" w:eastAsia="Calibri" w:hAnsi="Calibri" w:cs="Calibri"/>
          <w:b/>
        </w:rPr>
        <w:t xml:space="preserve">Regulation  </w:t>
      </w:r>
      <w:r>
        <w:rPr>
          <w:rFonts w:ascii="Calibri" w:eastAsia="Calibri" w:hAnsi="Calibri" w:cs="Calibri"/>
        </w:rPr>
        <w:t>No</w:t>
      </w:r>
      <w:proofErr w:type="gramEnd"/>
    </w:p>
    <w:p w:rsidR="00E24D4A" w:rsidRDefault="00403033">
      <w:pPr>
        <w:ind w:left="720"/>
        <w:rPr>
          <w:rFonts w:ascii="Calibri" w:eastAsia="Calibri" w:hAnsi="Calibri" w:cs="Calibri"/>
          <w:b/>
          <w:color w:val="3366CC"/>
          <w:u w:val="single"/>
        </w:rPr>
      </w:pPr>
      <w:r>
        <w:rPr>
          <w:rFonts w:ascii="Calibri" w:eastAsia="Calibri" w:hAnsi="Calibri" w:cs="Calibri"/>
          <w:b/>
        </w:rPr>
        <w:t>License application:</w:t>
      </w:r>
      <w:hyperlink r:id="rId40">
        <w:r>
          <w:rPr>
            <w:rFonts w:ascii="Calibri" w:eastAsia="Calibri" w:hAnsi="Calibri" w:cs="Calibri"/>
            <w:b/>
            <w:color w:val="3366CC"/>
          </w:rPr>
          <w:t xml:space="preserve"> </w:t>
        </w:r>
      </w:hyperlink>
      <w:hyperlink r:id="rId41">
        <w:r>
          <w:rPr>
            <w:rFonts w:ascii="Calibri" w:eastAsia="Calibri" w:hAnsi="Calibri" w:cs="Calibri"/>
            <w:b/>
            <w:color w:val="3366CC"/>
            <w:u w:val="single"/>
          </w:rPr>
          <w:t>http://flhealthsource.gov/mqa-services</w:t>
        </w:r>
      </w:hyperlink>
    </w:p>
    <w:p w:rsidR="00E24D4A" w:rsidRDefault="0040303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E24D4A" w:rsidRDefault="00403033">
      <w:pPr>
        <w:pStyle w:val="Heading3"/>
        <w:keepNext w:val="0"/>
        <w:keepLines w:val="0"/>
        <w:spacing w:before="280" w:after="0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6" w:name="_kv4qqmba5b19" w:colFirst="0" w:colLast="0"/>
      <w:bookmarkEnd w:id="6"/>
      <w:r>
        <w:rPr>
          <w:rFonts w:ascii="Calibri" w:eastAsia="Calibri" w:hAnsi="Calibri" w:cs="Calibri"/>
          <w:b/>
          <w:color w:val="000000"/>
          <w:sz w:val="20"/>
          <w:szCs w:val="20"/>
        </w:rPr>
        <w:t>Florida Telehealth provider registration:</w:t>
      </w:r>
    </w:p>
    <w:p w:rsidR="00E24D4A" w:rsidRDefault="00403033">
      <w:pPr>
        <w:rPr>
          <w:rFonts w:ascii="Roboto" w:eastAsia="Roboto" w:hAnsi="Roboto" w:cs="Roboto"/>
          <w:color w:val="212121"/>
        </w:rPr>
      </w:pPr>
      <w:hyperlink r:id="rId42">
        <w:r>
          <w:rPr>
            <w:rFonts w:ascii="Calibri" w:eastAsia="Calibri" w:hAnsi="Calibri" w:cs="Calibri"/>
            <w:b/>
            <w:color w:val="3366CC"/>
            <w:u w:val="single"/>
          </w:rPr>
          <w:t>https://flboardofmedicine.gov/licensing/out-of-state-telehealth-provider-registration/</w:t>
        </w:r>
      </w:hyperlink>
      <w:r>
        <w:rPr>
          <w:rFonts w:ascii="Roboto" w:eastAsia="Roboto" w:hAnsi="Roboto" w:cs="Roboto"/>
          <w:color w:val="212121"/>
        </w:rPr>
        <w:t xml:space="preserve">    </w:t>
      </w:r>
    </w:p>
    <w:p w:rsidR="00E24D4A" w:rsidRDefault="00E24D4A">
      <w:pPr>
        <w:rPr>
          <w:rFonts w:ascii="Roboto" w:eastAsia="Roboto" w:hAnsi="Roboto" w:cs="Roboto"/>
          <w:color w:val="212121"/>
        </w:rPr>
      </w:pPr>
    </w:p>
    <w:p w:rsidR="00E24D4A" w:rsidRDefault="00E24D4A"/>
    <w:sectPr w:rsidR="00E24D4A">
      <w:headerReference w:type="default" r:id="rId4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3033">
      <w:pPr>
        <w:spacing w:line="240" w:lineRule="auto"/>
      </w:pPr>
      <w:r>
        <w:separator/>
      </w:r>
    </w:p>
  </w:endnote>
  <w:endnote w:type="continuationSeparator" w:id="0">
    <w:p w:rsidR="00000000" w:rsidRDefault="00403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3033">
      <w:pPr>
        <w:spacing w:line="240" w:lineRule="auto"/>
      </w:pPr>
      <w:r>
        <w:separator/>
      </w:r>
    </w:p>
  </w:footnote>
  <w:footnote w:type="continuationSeparator" w:id="0">
    <w:p w:rsidR="00000000" w:rsidRDefault="004030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4A" w:rsidRDefault="00403033">
    <w:r>
      <w:rPr>
        <w:noProof/>
        <w:lang w:val="en-US"/>
      </w:rPr>
      <w:drawing>
        <wp:inline distT="114300" distB="114300" distL="114300" distR="114300">
          <wp:extent cx="3057525" cy="6572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75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A"/>
    <w:rsid w:val="00403033"/>
    <w:rsid w:val="00E2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9B721-464E-4325-A9D4-D7589A26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proofpoint.com/v2/url?u=https-3A__www.oplc.nh.gov_medicine_&amp;d=DwMGaQ&amp;c=xJjaW4UVIuGkaC9EgJPIQA&amp;r=kg0tFR8EnE_DqV8Zx3wM96WjsvI1YaeNEgLcnwJatHY&amp;m=zDufh_AMOeYF-yF2A-k3UGS98-PGzLfvMI6SjMXqy7w&amp;s=7qahQnZe_57gDwaopxlb_2U7b3nRg9mG5pi3b8iLb9U&amp;e=" TargetMode="External"/><Relationship Id="rId18" Type="http://schemas.openxmlformats.org/officeDocument/2006/relationships/hyperlink" Target="http://goog_1710528382/" TargetMode="External"/><Relationship Id="rId26" Type="http://schemas.openxmlformats.org/officeDocument/2006/relationships/hyperlink" Target="https://urldefense.proofpoint.com/v2/url?u=http-3A__www.imlcc.org_&amp;d=DwMGaQ&amp;c=xJjaW4UVIuGkaC9EgJPIQA&amp;r=kg0tFR8EnE_DqV8Zx3wM96WjsvI1YaeNEgLcnwJatHY&amp;m=zDufh_AMOeYF-yF2A-k3UGS98-PGzLfvMI6SjMXqy7w&amp;s=ln27URaMAXKzgUSXXRx9YQCLYXOMlZMNAzRVd7OzKio&amp;e=" TargetMode="External"/><Relationship Id="rId39" Type="http://schemas.openxmlformats.org/officeDocument/2006/relationships/hyperlink" Target="https://urldefense.proofpoint.com/v2/url?u=http-3A__floridasosteopathicmedicine.gov_&amp;d=DwMGaQ&amp;c=xJjaW4UVIuGkaC9EgJPIQA&amp;r=kg0tFR8EnE_DqV8Zx3wM96WjsvI1YaeNEgLcnwJatHY&amp;m=zDufh_AMOeYF-yF2A-k3UGS98-PGzLfvMI6SjMXqy7w&amp;s=9colLLSs7QTEfhUW0sojl-JK7BtiLyiweRzLxz8Qzoc&amp;e=" TargetMode="External"/><Relationship Id="rId21" Type="http://schemas.openxmlformats.org/officeDocument/2006/relationships/hyperlink" Target="https://www.governor.nh.gov/sites/g/files/ehbemt336/files/2020-05/emergency-order-46.pdf" TargetMode="External"/><Relationship Id="rId34" Type="http://schemas.openxmlformats.org/officeDocument/2006/relationships/hyperlink" Target="https://urldefense.proofpoint.com/v2/url?u=http-3A__flboardofmedicine.gov_&amp;d=DwMGaQ&amp;c=xJjaW4UVIuGkaC9EgJPIQA&amp;r=kg0tFR8EnE_DqV8Zx3wM96WjsvI1YaeNEgLcnwJatHY&amp;m=zDufh_AMOeYF-yF2A-k3UGS98-PGzLfvMI6SjMXqy7w&amp;s=MQZ0Ao83SvIu1yayVDJiXDTz9j9gb6F_soKTBZw6X14&amp;e=" TargetMode="External"/><Relationship Id="rId42" Type="http://schemas.openxmlformats.org/officeDocument/2006/relationships/hyperlink" Target="https://flboardofmedicine.gov/licensing/out-of-state-telehealth-provider-registration/" TargetMode="External"/><Relationship Id="rId7" Type="http://schemas.openxmlformats.org/officeDocument/2006/relationships/hyperlink" Target="https://www.fsmb.org/siteassets/advocacy/pdf/states-waiving-licensure-requirements-for-telehealth-in-response-to-covid-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ldefense.proofpoint.com/v2/url?u=https-3A__www.oplc.nh.gov_medicine_documents_physician-2Dinstructions-2Daddendum-2Daffidavit.pdf&amp;d=DwMGaQ&amp;c=xJjaW4UVIuGkaC9EgJPIQA&amp;r=kg0tFR8EnE_DqV8Zx3wM96WjsvI1YaeNEgLcnwJatHY&amp;m=zDufh_AMOeYF-yF2A-k3UGS98-PGzLfvMI6SjMXqy7w&amp;s=4n8SkDXkcpg2ttwZ_xwN_znoSutkPZfuXMPQpK_fx-4&amp;e=" TargetMode="External"/><Relationship Id="rId29" Type="http://schemas.openxmlformats.org/officeDocument/2006/relationships/hyperlink" Target="https://urldefense.proofpoint.com/v2/url?u=http-3A__www.maine.gov_osteo_&amp;d=DwMGaQ&amp;c=xJjaW4UVIuGkaC9EgJPIQA&amp;r=kg0tFR8EnE_DqV8Zx3wM96WjsvI1YaeNEgLcnwJatHY&amp;m=zDufh_AMOeYF-yF2A-k3UGS98-PGzLfvMI6SjMXqy7w&amp;s=FVbnv9Bf3QWc4s7g8k0o4B0Lt2j3FzwBeIO11Fbrrhw&amp;e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smb.org/siteassets/advocacy/pdf/states-waiving-licensure-requirements-for-telehealth-in-response-to-covid-19.pdf" TargetMode="External"/><Relationship Id="rId11" Type="http://schemas.openxmlformats.org/officeDocument/2006/relationships/hyperlink" Target="https://www.imlcc.org/information-for-physicians/" TargetMode="External"/><Relationship Id="rId24" Type="http://schemas.openxmlformats.org/officeDocument/2006/relationships/hyperlink" Target="https://urldefense.proofpoint.com/v2/url?u=http-3A__www.maine.gov_md_&amp;d=DwMGaQ&amp;c=xJjaW4UVIuGkaC9EgJPIQA&amp;r=kg0tFR8EnE_DqV8Zx3wM96WjsvI1YaeNEgLcnwJatHY&amp;m=zDufh_AMOeYF-yF2A-k3UGS98-PGzLfvMI6SjMXqy7w&amp;s=06kWZ-mOZY-5BNeXS7BLyR6QlCjgMgGM6zXxiTYq3cY&amp;e=" TargetMode="External"/><Relationship Id="rId32" Type="http://schemas.openxmlformats.org/officeDocument/2006/relationships/hyperlink" Target="https://urldefense.proofpoint.com/v2/url?u=http-3A__flboardofmedicine.gov_&amp;d=DwMGaQ&amp;c=xJjaW4UVIuGkaC9EgJPIQA&amp;r=kg0tFR8EnE_DqV8Zx3wM96WjsvI1YaeNEgLcnwJatHY&amp;m=zDufh_AMOeYF-yF2A-k3UGS98-PGzLfvMI6SjMXqy7w&amp;s=MQZ0Ao83SvIu1yayVDJiXDTz9j9gb6F_soKTBZw6X14&amp;e=" TargetMode="External"/><Relationship Id="rId37" Type="http://schemas.openxmlformats.org/officeDocument/2006/relationships/hyperlink" Target="https://urldefense.proofpoint.com/v2/url?u=http-3A__floridasosteopathicmedicine.gov_&amp;d=DwMGaQ&amp;c=xJjaW4UVIuGkaC9EgJPIQA&amp;r=kg0tFR8EnE_DqV8Zx3wM96WjsvI1YaeNEgLcnwJatHY&amp;m=zDufh_AMOeYF-yF2A-k3UGS98-PGzLfvMI6SjMXqy7w&amp;s=9colLLSs7QTEfhUW0sojl-JK7BtiLyiweRzLxz8Qzoc&amp;e=" TargetMode="External"/><Relationship Id="rId40" Type="http://schemas.openxmlformats.org/officeDocument/2006/relationships/hyperlink" Target="https://urldefense.proofpoint.com/v2/url?u=http-3A__flhealthsource.gov_mqa-2Dservices&amp;d=DwMGaQ&amp;c=xJjaW4UVIuGkaC9EgJPIQA&amp;r=kg0tFR8EnE_DqV8Zx3wM96WjsvI1YaeNEgLcnwJatHY&amp;m=zDufh_AMOeYF-yF2A-k3UGS98-PGzLfvMI6SjMXqy7w&amp;s=U8avkh-Y-FBy1Pj1_JwqlnGyecR7_rY0tROohZkxP1I&amp;e=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urldefense.proofpoint.com/v2/url?u=https-3A__www.oplc.nh.gov_medicine_&amp;d=DwMGaQ&amp;c=xJjaW4UVIuGkaC9EgJPIQA&amp;r=kg0tFR8EnE_DqV8Zx3wM96WjsvI1YaeNEgLcnwJatHY&amp;m=zDufh_AMOeYF-yF2A-k3UGS98-PGzLfvMI6SjMXqy7w&amp;s=7qahQnZe_57gDwaopxlb_2U7b3nRg9mG5pi3b8iLb9U&amp;e=" TargetMode="External"/><Relationship Id="rId23" Type="http://schemas.openxmlformats.org/officeDocument/2006/relationships/hyperlink" Target="https://urldefense.proofpoint.com/v2/url?u=http-3A__www.maine.gov_md_&amp;d=DwMGaQ&amp;c=xJjaW4UVIuGkaC9EgJPIQA&amp;r=kg0tFR8EnE_DqV8Zx3wM96WjsvI1YaeNEgLcnwJatHY&amp;m=zDufh_AMOeYF-yF2A-k3UGS98-PGzLfvMI6SjMXqy7w&amp;s=06kWZ-mOZY-5BNeXS7BLyR6QlCjgMgGM6zXxiTYq3cY&amp;e=" TargetMode="External"/><Relationship Id="rId28" Type="http://schemas.openxmlformats.org/officeDocument/2006/relationships/hyperlink" Target="https://urldefense.proofpoint.com/v2/url?u=http-3A__www.maine.gov_osteo_&amp;d=DwMGaQ&amp;c=xJjaW4UVIuGkaC9EgJPIQA&amp;r=kg0tFR8EnE_DqV8Zx3wM96WjsvI1YaeNEgLcnwJatHY&amp;m=zDufh_AMOeYF-yF2A-k3UGS98-PGzLfvMI6SjMXqy7w&amp;s=FVbnv9Bf3QWc4s7g8k0o4B0Lt2j3FzwBeIO11Fbrrhw&amp;e=" TargetMode="External"/><Relationship Id="rId36" Type="http://schemas.openxmlformats.org/officeDocument/2006/relationships/hyperlink" Target="https://urldefense.proofpoint.com/v2/url?u=http-3A__flhealthsource.gov_mqa-2Dservices&amp;d=DwMGaQ&amp;c=xJjaW4UVIuGkaC9EgJPIQA&amp;r=kg0tFR8EnE_DqV8Zx3wM96WjsvI1YaeNEgLcnwJatHY&amp;m=zDufh_AMOeYF-yF2A-k3UGS98-PGzLfvMI6SjMXqy7w&amp;s=U8avkh-Y-FBy1Pj1_JwqlnGyecR7_rY0tROohZkxP1I&amp;e=" TargetMode="External"/><Relationship Id="rId10" Type="http://schemas.openxmlformats.org/officeDocument/2006/relationships/hyperlink" Target="https://www.imlcc.org/information-for-physicians/" TargetMode="External"/><Relationship Id="rId19" Type="http://schemas.openxmlformats.org/officeDocument/2006/relationships/hyperlink" Target="http://goog_1710528382/" TargetMode="External"/><Relationship Id="rId31" Type="http://schemas.openxmlformats.org/officeDocument/2006/relationships/hyperlink" Target="https://urldefense.proofpoint.com/v2/url?u=http-3A__www.imlcc.org_&amp;d=DwMGaQ&amp;c=xJjaW4UVIuGkaC9EgJPIQA&amp;r=kg0tFR8EnE_DqV8Zx3wM96WjsvI1YaeNEgLcnwJatHY&amp;m=zDufh_AMOeYF-yF2A-k3UGS98-PGzLfvMI6SjMXqy7w&amp;s=ln27URaMAXKzgUSXXRx9YQCLYXOMlZMNAzRVd7OzKio&amp;e=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rldefense.proofpoint.com/v2/url?u=http-3A__www.imlcc.org_&amp;d=DwMGaQ&amp;c=xJjaW4UVIuGkaC9EgJPIQA&amp;r=kg0tFR8EnE_DqV8Zx3wM96WjsvI1YaeNEgLcnwJatHY&amp;m=zDufh_AMOeYF-yF2A-k3UGS98-PGzLfvMI6SjMXqy7w&amp;s=ln27URaMAXKzgUSXXRx9YQCLYXOMlZMNAzRVd7OzKio&amp;e=" TargetMode="External"/><Relationship Id="rId14" Type="http://schemas.openxmlformats.org/officeDocument/2006/relationships/hyperlink" Target="https://urldefense.proofpoint.com/v2/url?u=https-3A__www.oplc.nh.gov_medicine_&amp;d=DwMGaQ&amp;c=xJjaW4UVIuGkaC9EgJPIQA&amp;r=kg0tFR8EnE_DqV8Zx3wM96WjsvI1YaeNEgLcnwJatHY&amp;m=zDufh_AMOeYF-yF2A-k3UGS98-PGzLfvMI6SjMXqy7w&amp;s=7qahQnZe_57gDwaopxlb_2U7b3nRg9mG5pi3b8iLb9U&amp;e=" TargetMode="External"/><Relationship Id="rId22" Type="http://schemas.openxmlformats.org/officeDocument/2006/relationships/hyperlink" Target="https://urldefense.proofpoint.com/v2/url?u=http-3A__www.maine.gov_md_&amp;d=DwMGaQ&amp;c=xJjaW4UVIuGkaC9EgJPIQA&amp;r=kg0tFR8EnE_DqV8Zx3wM96WjsvI1YaeNEgLcnwJatHY&amp;m=zDufh_AMOeYF-yF2A-k3UGS98-PGzLfvMI6SjMXqy7w&amp;s=06kWZ-mOZY-5BNeXS7BLyR6QlCjgMgGM6zXxiTYq3cY&amp;e=" TargetMode="External"/><Relationship Id="rId27" Type="http://schemas.openxmlformats.org/officeDocument/2006/relationships/hyperlink" Target="https://urldefense.proofpoint.com/v2/url?u=http-3A__www.maine.gov_osteo_&amp;d=DwMGaQ&amp;c=xJjaW4UVIuGkaC9EgJPIQA&amp;r=kg0tFR8EnE_DqV8Zx3wM96WjsvI1YaeNEgLcnwJatHY&amp;m=zDufh_AMOeYF-yF2A-k3UGS98-PGzLfvMI6SjMXqy7w&amp;s=FVbnv9Bf3QWc4s7g8k0o4B0Lt2j3FzwBeIO11Fbrrhw&amp;e=" TargetMode="External"/><Relationship Id="rId30" Type="http://schemas.openxmlformats.org/officeDocument/2006/relationships/hyperlink" Target="https://urldefense.proofpoint.com/v2/url?u=http-3A__www.imlcc.org_&amp;d=DwMGaQ&amp;c=xJjaW4UVIuGkaC9EgJPIQA&amp;r=kg0tFR8EnE_DqV8Zx3wM96WjsvI1YaeNEgLcnwJatHY&amp;m=zDufh_AMOeYF-yF2A-k3UGS98-PGzLfvMI6SjMXqy7w&amp;s=ln27URaMAXKzgUSXXRx9YQCLYXOMlZMNAzRVd7OzKio&amp;e=" TargetMode="External"/><Relationship Id="rId35" Type="http://schemas.openxmlformats.org/officeDocument/2006/relationships/hyperlink" Target="https://urldefense.proofpoint.com/v2/url?u=http-3A__flhealthsource.gov_mqa-2Dservices&amp;d=DwMGaQ&amp;c=xJjaW4UVIuGkaC9EgJPIQA&amp;r=kg0tFR8EnE_DqV8Zx3wM96WjsvI1YaeNEgLcnwJatHY&amp;m=zDufh_AMOeYF-yF2A-k3UGS98-PGzLfvMI6SjMXqy7w&amp;s=U8avkh-Y-FBy1Pj1_JwqlnGyecR7_rY0tROohZkxP1I&amp;e=" TargetMode="External"/><Relationship Id="rId43" Type="http://schemas.openxmlformats.org/officeDocument/2006/relationships/header" Target="header1.xml"/><Relationship Id="rId8" Type="http://schemas.openxmlformats.org/officeDocument/2006/relationships/hyperlink" Target="https://urldefense.proofpoint.com/v2/url?u=http-3A__www.imlcc.org_&amp;d=DwMGaQ&amp;c=xJjaW4UVIuGkaC9EgJPIQA&amp;r=kg0tFR8EnE_DqV8Zx3wM96WjsvI1YaeNEgLcnwJatHY&amp;m=zDufh_AMOeYF-yF2A-k3UGS98-PGzLfvMI6SjMXqy7w&amp;s=ln27URaMAXKzgUSXXRx9YQCLYXOMlZMNAzRVd7OzKio&amp;e=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urldefense.proofpoint.com/v2/url?u=https-3A__www.oplc.nh.gov_medicine_documents_physician-2Dinstructions-2Daddendum-2Daffidavit.pdf&amp;d=DwMGaQ&amp;c=xJjaW4UVIuGkaC9EgJPIQA&amp;r=kg0tFR8EnE_DqV8Zx3wM96WjsvI1YaeNEgLcnwJatHY&amp;m=zDufh_AMOeYF-yF2A-k3UGS98-PGzLfvMI6SjMXqy7w&amp;s=4n8SkDXkcpg2ttwZ_xwN_znoSutkPZfuXMPQpK_fx-4&amp;e=" TargetMode="External"/><Relationship Id="rId25" Type="http://schemas.openxmlformats.org/officeDocument/2006/relationships/hyperlink" Target="https://urldefense.proofpoint.com/v2/url?u=http-3A__www.imlcc.org_&amp;d=DwMGaQ&amp;c=xJjaW4UVIuGkaC9EgJPIQA&amp;r=kg0tFR8EnE_DqV8Zx3wM96WjsvI1YaeNEgLcnwJatHY&amp;m=zDufh_AMOeYF-yF2A-k3UGS98-PGzLfvMI6SjMXqy7w&amp;s=ln27URaMAXKzgUSXXRx9YQCLYXOMlZMNAzRVd7OzKio&amp;e=" TargetMode="External"/><Relationship Id="rId33" Type="http://schemas.openxmlformats.org/officeDocument/2006/relationships/hyperlink" Target="https://urldefense.proofpoint.com/v2/url?u=http-3A__flboardofmedicine.gov_&amp;d=DwMGaQ&amp;c=xJjaW4UVIuGkaC9EgJPIQA&amp;r=kg0tFR8EnE_DqV8Zx3wM96WjsvI1YaeNEgLcnwJatHY&amp;m=zDufh_AMOeYF-yF2A-k3UGS98-PGzLfvMI6SjMXqy7w&amp;s=MQZ0Ao83SvIu1yayVDJiXDTz9j9gb6F_soKTBZw6X14&amp;e=" TargetMode="External"/><Relationship Id="rId38" Type="http://schemas.openxmlformats.org/officeDocument/2006/relationships/hyperlink" Target="https://urldefense.proofpoint.com/v2/url?u=http-3A__floridasosteopathicmedicine.gov_&amp;d=DwMGaQ&amp;c=xJjaW4UVIuGkaC9EgJPIQA&amp;r=kg0tFR8EnE_DqV8Zx3wM96WjsvI1YaeNEgLcnwJatHY&amp;m=zDufh_AMOeYF-yF2A-k3UGS98-PGzLfvMI6SjMXqy7w&amp;s=9colLLSs7QTEfhUW0sojl-JK7BtiLyiweRzLxz8Qzoc&amp;e=" TargetMode="External"/><Relationship Id="rId20" Type="http://schemas.openxmlformats.org/officeDocument/2006/relationships/hyperlink" Target="https://www.governor.nh.gov/sites/g/files/ehbemt336/files/2020-05/emergency-order-46.pdf" TargetMode="External"/><Relationship Id="rId41" Type="http://schemas.openxmlformats.org/officeDocument/2006/relationships/hyperlink" Target="https://urldefense.proofpoint.com/v2/url?u=http-3A__flhealthsource.gov_mqa-2Dservices&amp;d=DwMGaQ&amp;c=xJjaW4UVIuGkaC9EgJPIQA&amp;r=kg0tFR8EnE_DqV8Zx3wM96WjsvI1YaeNEgLcnwJatHY&amp;m=zDufh_AMOeYF-yF2A-k3UGS98-PGzLfvMI6SjMXqy7w&amp;s=U8avkh-Y-FBy1Pj1_JwqlnGyecR7_rY0tROohZkxP1I&amp;e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2012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Health</Company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O'Leary, Judith</dc:creator>
  <cp:lastModifiedBy>O'Leary, Judith</cp:lastModifiedBy>
  <cp:revision>2</cp:revision>
  <dcterms:created xsi:type="dcterms:W3CDTF">2020-12-04T14:50:00Z</dcterms:created>
  <dcterms:modified xsi:type="dcterms:W3CDTF">2020-12-04T14:50:00Z</dcterms:modified>
</cp:coreProperties>
</file>