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D30B6" w:rsidRDefault="00A42B23">
      <w:pPr>
        <w:spacing w:before="40" w:line="23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32"/>
          <w:szCs w:val="32"/>
        </w:rPr>
        <w:t>Northeast PHO Referral Management Policy 2021</w:t>
      </w:r>
    </w:p>
    <w:p w14:paraId="00000002" w14:textId="77777777" w:rsidR="00ED30B6" w:rsidRDefault="00ED30B6">
      <w:pPr>
        <w:spacing w:before="40" w:line="230" w:lineRule="auto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00000003" w14:textId="77777777" w:rsidR="00ED30B6" w:rsidRDefault="00A42B23">
      <w:pPr>
        <w:spacing w:line="269" w:lineRule="auto"/>
        <w:ind w:right="7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The Northeast Physician Hospital Organization (PHO) has a comprehensive network of community based specialists who partner with our Primary Care Providers (PCPs) to provide well-coordinated care for our patients. The Northeast PHO is part of a larger netwo</w:t>
      </w:r>
      <w:r>
        <w:rPr>
          <w:rFonts w:ascii="Calibri" w:eastAsia="Calibri" w:hAnsi="Calibri" w:cs="Calibri"/>
          <w:color w:val="000000"/>
          <w:sz w:val="28"/>
          <w:szCs w:val="28"/>
        </w:rPr>
        <w:t>rk, Beth Israel Lahey Health Performance Network (BILHPN).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If services are not available in the Northeast PHO network, referrals may be directed to BILHPN providers and facilities.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In an effort to facilitate and improve care coordination for the patients o</w:t>
      </w:r>
      <w:r>
        <w:rPr>
          <w:rFonts w:ascii="Calibri" w:eastAsia="Calibri" w:hAnsi="Calibri" w:cs="Calibri"/>
          <w:color w:val="000000"/>
          <w:sz w:val="28"/>
          <w:szCs w:val="28"/>
        </w:rPr>
        <w:t>f Northeast PHO network, the following referral management process has been put in place.</w:t>
      </w:r>
    </w:p>
    <w:p w14:paraId="00000004" w14:textId="77777777" w:rsidR="00ED30B6" w:rsidRDefault="00ED30B6">
      <w:pPr>
        <w:spacing w:line="269" w:lineRule="auto"/>
        <w:ind w:right="72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5" w14:textId="77777777" w:rsidR="00ED30B6" w:rsidRDefault="00A42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BCBS, Fallon, Harvard Pilgrim, Tufts, and Tufts Medicare Preferred HMO patients seeking specialty care referrals outside of the Northeast PHO network may be subject </w:t>
      </w:r>
      <w:r>
        <w:rPr>
          <w:rFonts w:ascii="Calibri" w:eastAsia="Calibri" w:hAnsi="Calibri" w:cs="Calibri"/>
          <w:color w:val="000000"/>
          <w:sz w:val="28"/>
          <w:szCs w:val="28"/>
        </w:rPr>
        <w:t>to review.</w:t>
      </w:r>
    </w:p>
    <w:p w14:paraId="00000006" w14:textId="77777777" w:rsidR="00ED30B6" w:rsidRDefault="00ED30B6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7" w14:textId="77777777" w:rsidR="00ED30B6" w:rsidRDefault="00A42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Preferred Tertiary providers are:</w:t>
      </w:r>
    </w:p>
    <w:p w14:paraId="00000008" w14:textId="77777777" w:rsidR="00ED30B6" w:rsidRDefault="00A42B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29" w:lineRule="auto"/>
        <w:ind w:left="72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00000009" w14:textId="77777777" w:rsidR="00ED30B6" w:rsidRDefault="00A42B23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Lahey Hospital &amp; Medical Center and Beth Israel Deaconess Medical Center for services not available within the Northeast PHO network. </w:t>
      </w:r>
    </w:p>
    <w:p w14:paraId="0000000A" w14:textId="77777777" w:rsidR="00ED30B6" w:rsidRDefault="00ED30B6">
      <w:pPr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B" w14:textId="77777777" w:rsidR="00ED30B6" w:rsidRDefault="00A42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The following criteria must be met in order for an out of PHO or out of BILHPN referral request to be approved.</w:t>
      </w:r>
    </w:p>
    <w:p w14:paraId="0000000C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Pre-existing relationship </w:t>
      </w:r>
      <w:r>
        <w:rPr>
          <w:rFonts w:ascii="Calibri" w:eastAsia="Calibri" w:hAnsi="Calibri" w:cs="Calibri"/>
          <w:color w:val="000000"/>
          <w:sz w:val="28"/>
          <w:szCs w:val="28"/>
        </w:rPr>
        <w:t>- Clinical notes will be required to authorize a pre-existing relationship</w:t>
      </w:r>
    </w:p>
    <w:p w14:paraId="0000000D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The patient must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have seen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out of network (OON) specialist within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12 months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for the same condition</w:t>
      </w:r>
    </w:p>
    <w:p w14:paraId="0000000E" w14:textId="77777777" w:rsidR="00ED30B6" w:rsidRDefault="00A42B23">
      <w:pPr>
        <w:numPr>
          <w:ilvl w:val="2"/>
          <w:numId w:val="1"/>
        </w:numPr>
        <w:tabs>
          <w:tab w:val="left" w:pos="1440"/>
        </w:tabs>
        <w:spacing w:before="66" w:line="238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Follow up to current surgery or complication of current surgery or therapy</w:t>
      </w:r>
    </w:p>
    <w:p w14:paraId="0000000F" w14:textId="77777777" w:rsidR="00ED30B6" w:rsidRDefault="00A42B23">
      <w:pPr>
        <w:numPr>
          <w:ilvl w:val="2"/>
          <w:numId w:val="1"/>
        </w:numPr>
        <w:tabs>
          <w:tab w:val="left" w:pos="1440"/>
        </w:tabs>
        <w:spacing w:before="66" w:line="238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PCPs should make efforts to redirect care to a Northeast PHO, or when necessary BILHPN, specialist where clin</w:t>
      </w:r>
      <w:r>
        <w:rPr>
          <w:rFonts w:ascii="Calibri" w:eastAsia="Calibri" w:hAnsi="Calibri" w:cs="Calibri"/>
          <w:color w:val="000000"/>
          <w:sz w:val="28"/>
          <w:szCs w:val="28"/>
        </w:rPr>
        <w:t>ically appropriate</w:t>
      </w:r>
    </w:p>
    <w:p w14:paraId="00000010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85"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Services not in PHO network - </w:t>
      </w:r>
      <w:r>
        <w:rPr>
          <w:rFonts w:ascii="Calibri" w:eastAsia="Calibri" w:hAnsi="Calibri" w:cs="Calibri"/>
          <w:color w:val="000000"/>
          <w:sz w:val="28"/>
          <w:szCs w:val="28"/>
        </w:rPr>
        <w:t>Clinical notes will be required to support this request</w:t>
      </w:r>
    </w:p>
    <w:p w14:paraId="00000011" w14:textId="77777777" w:rsidR="00ED30B6" w:rsidRDefault="00A42B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ind w:left="216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Patient to be directed to Preferred Tertiary provider at Lahey Hospital &amp; Medical Center or Beth Israel Deaconess Medical Center or other BILHPN provider</w:t>
      </w:r>
    </w:p>
    <w:p w14:paraId="00000012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Coordination of Care - </w:t>
      </w:r>
      <w:r>
        <w:rPr>
          <w:rFonts w:ascii="Calibri" w:eastAsia="Calibri" w:hAnsi="Calibri" w:cs="Calibri"/>
          <w:color w:val="000000"/>
          <w:sz w:val="28"/>
          <w:szCs w:val="28"/>
        </w:rPr>
        <w:t>Clinical notes will be required to support this request</w:t>
      </w:r>
    </w:p>
    <w:p w14:paraId="00000013" w14:textId="77777777" w:rsidR="00ED30B6" w:rsidRDefault="00ED30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ind w:left="14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4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ER follow up - </w:t>
      </w:r>
      <w:r>
        <w:rPr>
          <w:rFonts w:ascii="Calibri" w:eastAsia="Calibri" w:hAnsi="Calibri" w:cs="Calibri"/>
          <w:color w:val="000000"/>
          <w:sz w:val="28"/>
          <w:szCs w:val="28"/>
        </w:rPr>
        <w:t>Clinica</w:t>
      </w:r>
      <w:r>
        <w:rPr>
          <w:rFonts w:ascii="Calibri" w:eastAsia="Calibri" w:hAnsi="Calibri" w:cs="Calibri"/>
          <w:color w:val="000000"/>
          <w:sz w:val="28"/>
          <w:szCs w:val="28"/>
        </w:rPr>
        <w:t>l notes will be required to support this request</w:t>
      </w:r>
    </w:p>
    <w:p w14:paraId="00000015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One visit to an OON Specialist will be approved if the patient had a face to face visit with that specialist during the ED visit.</w:t>
      </w:r>
    </w:p>
    <w:p w14:paraId="00000016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No referral will be approved for an appointment made with an out of PHO specialist if there was no direct face to face visit with the specialist (i.e. no established relationship)</w:t>
      </w:r>
    </w:p>
    <w:p w14:paraId="00000017" w14:textId="77777777" w:rsidR="00ED30B6" w:rsidRDefault="00ED30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ind w:left="216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8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Second Opinion – </w:t>
      </w:r>
      <w:r>
        <w:rPr>
          <w:rFonts w:ascii="Calibri" w:eastAsia="Calibri" w:hAnsi="Calibri" w:cs="Calibri"/>
          <w:color w:val="000000"/>
          <w:sz w:val="28"/>
          <w:szCs w:val="28"/>
        </w:rPr>
        <w:t>Clinical notes will be required to support this request</w:t>
      </w:r>
    </w:p>
    <w:p w14:paraId="00000019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Se</w:t>
      </w:r>
      <w:r>
        <w:rPr>
          <w:rFonts w:ascii="Calibri" w:eastAsia="Calibri" w:hAnsi="Calibri" w:cs="Calibri"/>
          <w:color w:val="000000"/>
          <w:sz w:val="28"/>
          <w:szCs w:val="28"/>
        </w:rPr>
        <w:t>cond Opinions should be to a Northeast PHO specialist, or BILHPN specialist if services are not available in Northeast PHO</w:t>
      </w:r>
    </w:p>
    <w:p w14:paraId="0000001A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After the second opinion to a Northeast PHO or BILHPN specialist, an OON second opinion will be approved if requested by a patient</w:t>
      </w:r>
    </w:p>
    <w:p w14:paraId="0000001B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PC</w:t>
      </w:r>
      <w:r>
        <w:rPr>
          <w:rFonts w:ascii="Calibri" w:eastAsia="Calibri" w:hAnsi="Calibri" w:cs="Calibri"/>
          <w:color w:val="000000"/>
          <w:sz w:val="28"/>
          <w:szCs w:val="28"/>
        </w:rPr>
        <w:t>P follow up is required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for discussion of best options for treatment after the OON second opinion</w:t>
      </w:r>
    </w:p>
    <w:p w14:paraId="0000001C" w14:textId="77777777" w:rsidR="00ED30B6" w:rsidRDefault="00ED30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ind w:left="216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1D" w14:textId="77777777" w:rsidR="00ED30B6" w:rsidRDefault="00A42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Access to Specialty Care - </w:t>
      </w:r>
      <w:r>
        <w:rPr>
          <w:rFonts w:ascii="Calibri" w:eastAsia="Calibri" w:hAnsi="Calibri" w:cs="Calibri"/>
          <w:color w:val="000000"/>
          <w:sz w:val="28"/>
          <w:szCs w:val="28"/>
        </w:rPr>
        <w:t>All efforts should be made to schedule patients to see a Northeast PHO specialist for</w:t>
      </w:r>
    </w:p>
    <w:p w14:paraId="0000001E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Non-routine care </w:t>
      </w:r>
    </w:p>
    <w:p w14:paraId="0000001F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ithin 7 days of the request </w:t>
      </w:r>
    </w:p>
    <w:p w14:paraId="00000020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o later than 48 hours after an out of PHO specialist appointment (not authorized by the PCP)</w:t>
      </w:r>
    </w:p>
    <w:p w14:paraId="00000021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Oncology or other High Risk Conditions</w:t>
      </w:r>
    </w:p>
    <w:p w14:paraId="00000022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ppointment as soon as possible </w:t>
      </w:r>
    </w:p>
    <w:p w14:paraId="00000023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o later than 48 hours, or 2 business days,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after the request</w:t>
      </w:r>
    </w:p>
    <w:p w14:paraId="00000024" w14:textId="77777777" w:rsidR="00ED30B6" w:rsidRDefault="00A42B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</w:t>
      </w:r>
      <w:r>
        <w:rPr>
          <w:rFonts w:ascii="Calibri" w:eastAsia="Calibri" w:hAnsi="Calibri" w:cs="Calibri"/>
          <w:color w:val="000000"/>
          <w:sz w:val="28"/>
          <w:szCs w:val="28"/>
        </w:rPr>
        <w:t>rther decisions on where ongoing care should be received will be at the discretion of the PCP</w:t>
      </w:r>
    </w:p>
    <w:p w14:paraId="00000025" w14:textId="77777777" w:rsidR="00ED30B6" w:rsidRDefault="00ED30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69" w:lineRule="auto"/>
        <w:ind w:left="216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26" w14:textId="77777777" w:rsidR="00ED30B6" w:rsidRDefault="00A42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PHO Orthopedic Policy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027" w14:textId="77777777" w:rsidR="00ED30B6" w:rsidRDefault="00A42B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>Patients should see a Northeast PHO Orthopedic Specialist prior to being referred to an out of PHO or Preferred Tertiary Orthopedic Specialist</w:t>
      </w:r>
    </w:p>
    <w:p w14:paraId="00000028" w14:textId="77777777" w:rsidR="00ED30B6" w:rsidRDefault="00ED30B6">
      <w:pPr>
        <w:pBdr>
          <w:top w:val="nil"/>
          <w:left w:val="nil"/>
          <w:bottom w:val="nil"/>
          <w:right w:val="nil"/>
          <w:between w:val="nil"/>
        </w:pBdr>
        <w:tabs>
          <w:tab w:val="left" w:pos="1296"/>
        </w:tabs>
        <w:spacing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29" w14:textId="77777777" w:rsidR="00ED30B6" w:rsidRDefault="00A42B23">
      <w:pPr>
        <w:numPr>
          <w:ilvl w:val="0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Pediatric Referral Rules</w:t>
      </w:r>
    </w:p>
    <w:p w14:paraId="0000002A" w14:textId="77777777" w:rsidR="00ED30B6" w:rsidRDefault="00A42B23">
      <w:pPr>
        <w:numPr>
          <w:ilvl w:val="1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Referrals for the following pediatric specialties will be approved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without </w:t>
      </w:r>
      <w:r>
        <w:rPr>
          <w:rFonts w:ascii="Calibri" w:eastAsia="Calibri" w:hAnsi="Calibri" w:cs="Calibri"/>
          <w:color w:val="000000"/>
          <w:sz w:val="28"/>
          <w:szCs w:val="28"/>
        </w:rPr>
        <w:t>PHO review:</w:t>
      </w:r>
    </w:p>
    <w:p w14:paraId="0000002B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Cardiology</w:t>
      </w:r>
    </w:p>
    <w:p w14:paraId="0000002C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Endocrinology</w:t>
      </w:r>
    </w:p>
    <w:p w14:paraId="0000002D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Gastroenterology</w:t>
      </w:r>
    </w:p>
    <w:p w14:paraId="0000002E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Infectious Disease</w:t>
      </w:r>
    </w:p>
    <w:p w14:paraId="0000002F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Nephrology</w:t>
      </w:r>
    </w:p>
    <w:p w14:paraId="00000030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Neurology/Neurosurgery</w:t>
      </w:r>
    </w:p>
    <w:p w14:paraId="00000031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Pulmonology</w:t>
      </w:r>
    </w:p>
    <w:p w14:paraId="00000032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Rheumatology</w:t>
      </w:r>
    </w:p>
    <w:p w14:paraId="00000033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Urology</w:t>
      </w:r>
    </w:p>
    <w:p w14:paraId="00000034" w14:textId="77777777" w:rsidR="00ED30B6" w:rsidRDefault="00A42B23">
      <w:pPr>
        <w:numPr>
          <w:ilvl w:val="1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Orthopedic referrals must be in PHO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excluding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the following reasons </w:t>
      </w:r>
    </w:p>
    <w:p w14:paraId="00000035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Scoliosis</w:t>
      </w:r>
    </w:p>
    <w:p w14:paraId="00000036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Malignant Tumors</w:t>
      </w:r>
    </w:p>
    <w:p w14:paraId="00000037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Congenital anomalies/issues</w:t>
      </w:r>
    </w:p>
    <w:p w14:paraId="00000038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Club Feet</w:t>
      </w:r>
    </w:p>
    <w:p w14:paraId="00000039" w14:textId="77777777" w:rsidR="00ED30B6" w:rsidRDefault="00A42B23">
      <w:pPr>
        <w:numPr>
          <w:ilvl w:val="2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Growth Plate Fractures for patients under 24 months</w:t>
      </w:r>
    </w:p>
    <w:p w14:paraId="0000003A" w14:textId="77777777" w:rsidR="00ED30B6" w:rsidRDefault="00ED30B6">
      <w:pPr>
        <w:tabs>
          <w:tab w:val="left" w:pos="1296"/>
        </w:tabs>
        <w:spacing w:before="11" w:line="289" w:lineRule="auto"/>
        <w:ind w:left="720" w:right="216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3B" w14:textId="77777777" w:rsidR="00ED30B6" w:rsidRDefault="00A42B23">
      <w:pPr>
        <w:numPr>
          <w:ilvl w:val="0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Referrals for the following services will not be subject to review:</w:t>
      </w:r>
    </w:p>
    <w:p w14:paraId="0000003C" w14:textId="77777777" w:rsidR="00ED30B6" w:rsidRDefault="00A42B23">
      <w:pPr>
        <w:numPr>
          <w:ilvl w:val="1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Chiropractic Care</w:t>
      </w:r>
    </w:p>
    <w:p w14:paraId="0000003D" w14:textId="77777777" w:rsidR="00ED30B6" w:rsidRDefault="00A42B23">
      <w:pPr>
        <w:numPr>
          <w:ilvl w:val="1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Optometry</w:t>
      </w:r>
    </w:p>
    <w:p w14:paraId="0000003E" w14:textId="77777777" w:rsidR="00ED30B6" w:rsidRDefault="00A42B23">
      <w:pPr>
        <w:numPr>
          <w:ilvl w:val="1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Physical Therapy</w:t>
      </w:r>
    </w:p>
    <w:p w14:paraId="0000003F" w14:textId="77777777" w:rsidR="00ED30B6" w:rsidRDefault="00A42B23">
      <w:pPr>
        <w:numPr>
          <w:ilvl w:val="1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Occupational Therapy</w:t>
      </w:r>
    </w:p>
    <w:p w14:paraId="00000040" w14:textId="77777777" w:rsidR="00ED30B6" w:rsidRDefault="00A42B23">
      <w:pPr>
        <w:numPr>
          <w:ilvl w:val="1"/>
          <w:numId w:val="1"/>
        </w:numPr>
        <w:tabs>
          <w:tab w:val="left" w:pos="1296"/>
        </w:tabs>
        <w:spacing w:before="11" w:line="289" w:lineRule="auto"/>
        <w:ind w:right="216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Speech Therapy</w:t>
      </w:r>
    </w:p>
    <w:sectPr w:rsidR="00ED30B6">
      <w:pgSz w:w="12240" w:h="15840"/>
      <w:pgMar w:top="1440" w:right="1008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741A"/>
    <w:multiLevelType w:val="multilevel"/>
    <w:tmpl w:val="A32EA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B6"/>
    <w:rsid w:val="00A42B23"/>
    <w:rsid w:val="00E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3491F-6D2E-4E25-9447-0622255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2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F54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7t7+xhY7D/TmD/drBQ459WSdpg==">AMUW2mUphI09eI/AUpT66DDHd01LPXwoV3A7PK+hVtCb0/t0qhSGUnNYT50NVvnjaVPxJtZiTZl0EpTdjXjLa/e7MF+8s+a9N7UEHyN9klsEhozJvCEwIYDqSuzv4uCC689/t9cuz8C6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Cabral, Ann</dc:creator>
  <cp:lastModifiedBy>Doyon, Margaret M</cp:lastModifiedBy>
  <cp:revision>2</cp:revision>
  <dcterms:created xsi:type="dcterms:W3CDTF">2021-01-27T17:22:00Z</dcterms:created>
  <dcterms:modified xsi:type="dcterms:W3CDTF">2021-01-27T17:22:00Z</dcterms:modified>
</cp:coreProperties>
</file>